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982AE2" w14:textId="77777777" w:rsidR="00367B83" w:rsidRDefault="00367B83"/>
    <w:p w14:paraId="509D91DF" w14:textId="77777777" w:rsidR="00702CCB" w:rsidRDefault="00702CCB" w:rsidP="00702CCB">
      <w:pPr>
        <w:pStyle w:val="Heading1"/>
        <w:jc w:val="center"/>
        <w:rPr>
          <w:lang w:val="en-US"/>
        </w:rPr>
      </w:pPr>
      <w:r w:rsidRPr="00702CCB">
        <w:rPr>
          <w:lang w:val="en-US"/>
        </w:rPr>
        <w:t>Access to compulsory binding dispute resolution under the Law of the Sea Convention (LOSC): a survey of the issues</w:t>
      </w:r>
    </w:p>
    <w:p w14:paraId="79BB3F32" w14:textId="77777777" w:rsidR="00702CCB" w:rsidRDefault="00702CCB" w:rsidP="00702CCB">
      <w:pPr>
        <w:jc w:val="center"/>
        <w:rPr>
          <w:rFonts w:ascii="Times New Roman" w:hAnsi="Times New Roman" w:cs="Times New Roman"/>
          <w:b/>
          <w:sz w:val="24"/>
          <w:szCs w:val="24"/>
          <w:lang w:val="en-US"/>
        </w:rPr>
      </w:pPr>
    </w:p>
    <w:p w14:paraId="1E067B77" w14:textId="77777777" w:rsidR="00702CCB" w:rsidRPr="00702CCB" w:rsidRDefault="00702CCB" w:rsidP="00702CCB">
      <w:pPr>
        <w:jc w:val="center"/>
        <w:rPr>
          <w:rFonts w:ascii="Times New Roman" w:hAnsi="Times New Roman" w:cs="Times New Roman"/>
          <w:b/>
          <w:sz w:val="24"/>
          <w:szCs w:val="24"/>
          <w:lang w:val="en-US"/>
        </w:rPr>
      </w:pPr>
      <w:r w:rsidRPr="00702CCB">
        <w:rPr>
          <w:rFonts w:ascii="Times New Roman" w:hAnsi="Times New Roman" w:cs="Times New Roman"/>
          <w:b/>
          <w:sz w:val="24"/>
          <w:szCs w:val="24"/>
          <w:lang w:val="en-US"/>
        </w:rPr>
        <w:t>JCLOS Centre Days Workshop, September 21, 22, 2016</w:t>
      </w:r>
    </w:p>
    <w:p w14:paraId="286AA346" w14:textId="0BF23A5D" w:rsidR="00702CCB" w:rsidRPr="009931D8" w:rsidRDefault="00493138" w:rsidP="00702CCB">
      <w:pPr>
        <w:jc w:val="center"/>
        <w:rPr>
          <w:rFonts w:ascii="Times New Roman" w:hAnsi="Times New Roman" w:cs="Times New Roman"/>
          <w:b/>
          <w:color w:val="FF0000"/>
          <w:sz w:val="18"/>
          <w:szCs w:val="18"/>
          <w:lang w:val="en-US"/>
        </w:rPr>
      </w:pPr>
      <w:r>
        <w:rPr>
          <w:rFonts w:ascii="Times New Roman" w:hAnsi="Times New Roman" w:cs="Times New Roman"/>
          <w:b/>
          <w:color w:val="FF0000"/>
          <w:sz w:val="18"/>
          <w:szCs w:val="18"/>
          <w:lang w:val="en-US"/>
        </w:rPr>
        <w:t>Draft 16 September</w:t>
      </w:r>
      <w:r w:rsidR="009931D8">
        <w:rPr>
          <w:rFonts w:ascii="Times New Roman" w:hAnsi="Times New Roman" w:cs="Times New Roman"/>
          <w:b/>
          <w:color w:val="FF0000"/>
          <w:sz w:val="18"/>
          <w:szCs w:val="18"/>
          <w:lang w:val="en-US"/>
        </w:rPr>
        <w:t xml:space="preserve"> 2016</w:t>
      </w:r>
    </w:p>
    <w:p w14:paraId="5EC8E4D1" w14:textId="77777777" w:rsidR="00702CCB" w:rsidRPr="00702CCB" w:rsidRDefault="00702CCB" w:rsidP="00702CCB">
      <w:pPr>
        <w:rPr>
          <w:rFonts w:ascii="Times New Roman" w:hAnsi="Times New Roman" w:cs="Times New Roman"/>
          <w:sz w:val="24"/>
          <w:szCs w:val="24"/>
          <w:lang w:val="en-US"/>
        </w:rPr>
      </w:pPr>
      <w:r w:rsidRPr="00702CCB">
        <w:rPr>
          <w:rFonts w:ascii="Times New Roman" w:hAnsi="Times New Roman" w:cs="Times New Roman"/>
          <w:sz w:val="24"/>
          <w:szCs w:val="24"/>
          <w:lang w:val="en-US"/>
        </w:rPr>
        <w:t xml:space="preserve">The purpose of this workshop and this group of papers is to assess the experience that has been gained with the compulsory dispute resolution provisions of LOSC since it came into force. There is now a considerable body of jurisprudence on the interpretation and application of these provisions and the papers described below will take stock of that jurisprudence and attempt to assess whether these provisions have worked out as intended by the parties to the LOSC negotiations and the extent to which unanticipated issues might have arisen.    </w:t>
      </w:r>
    </w:p>
    <w:p w14:paraId="5BFEFD97" w14:textId="77777777" w:rsidR="00702CCB" w:rsidRPr="00702CCB" w:rsidRDefault="00702CCB" w:rsidP="00702CCB">
      <w:pPr>
        <w:rPr>
          <w:rFonts w:ascii="Times New Roman" w:hAnsi="Times New Roman" w:cs="Times New Roman"/>
          <w:b/>
          <w:sz w:val="24"/>
          <w:szCs w:val="24"/>
          <w:lang w:val="en-US"/>
        </w:rPr>
      </w:pPr>
      <w:r w:rsidRPr="00702CCB">
        <w:rPr>
          <w:rFonts w:ascii="Times New Roman" w:hAnsi="Times New Roman" w:cs="Times New Roman"/>
          <w:b/>
          <w:sz w:val="24"/>
          <w:szCs w:val="24"/>
          <w:lang w:val="en-US"/>
        </w:rPr>
        <w:t>September 21</w:t>
      </w:r>
    </w:p>
    <w:p w14:paraId="605377A0" w14:textId="59D4CD35" w:rsidR="00702CCB" w:rsidRPr="00702CCB" w:rsidRDefault="00702CCB" w:rsidP="00702CCB">
      <w:pPr>
        <w:rPr>
          <w:rFonts w:ascii="Times New Roman" w:hAnsi="Times New Roman" w:cs="Times New Roman"/>
          <w:sz w:val="24"/>
          <w:szCs w:val="24"/>
          <w:lang w:val="en-US"/>
        </w:rPr>
      </w:pPr>
      <w:r w:rsidRPr="00702CCB">
        <w:rPr>
          <w:rFonts w:ascii="Times New Roman" w:hAnsi="Times New Roman" w:cs="Times New Roman"/>
          <w:b/>
          <w:sz w:val="24"/>
          <w:szCs w:val="24"/>
          <w:lang w:val="en-US"/>
        </w:rPr>
        <w:t>Opening remarks and Introductions</w:t>
      </w:r>
      <w:r w:rsidRPr="00702CCB">
        <w:rPr>
          <w:rFonts w:ascii="Times New Roman" w:hAnsi="Times New Roman" w:cs="Times New Roman"/>
          <w:sz w:val="24"/>
          <w:szCs w:val="24"/>
          <w:lang w:val="en-US"/>
        </w:rPr>
        <w:t xml:space="preserve">: Tore Henriksen and Øystein Jensen </w:t>
      </w:r>
      <w:r w:rsidR="00493138">
        <w:rPr>
          <w:rFonts w:ascii="Times New Roman" w:hAnsi="Times New Roman" w:cs="Times New Roman"/>
          <w:b/>
          <w:sz w:val="24"/>
          <w:szCs w:val="24"/>
          <w:lang w:val="en-US"/>
        </w:rPr>
        <w:t>12.15 – 12.30</w:t>
      </w:r>
    </w:p>
    <w:p w14:paraId="7D2112EF" w14:textId="62948FD2" w:rsidR="00702CCB" w:rsidRPr="00702CCB" w:rsidRDefault="00702CCB" w:rsidP="00702CCB">
      <w:pPr>
        <w:rPr>
          <w:rFonts w:ascii="Times New Roman" w:hAnsi="Times New Roman" w:cs="Times New Roman"/>
          <w:sz w:val="24"/>
          <w:szCs w:val="24"/>
          <w:lang w:val="en-US"/>
        </w:rPr>
      </w:pPr>
      <w:r w:rsidRPr="00702CCB">
        <w:rPr>
          <w:rFonts w:ascii="Times New Roman" w:hAnsi="Times New Roman" w:cs="Times New Roman"/>
          <w:b/>
          <w:sz w:val="24"/>
          <w:szCs w:val="24"/>
          <w:lang w:val="en-US"/>
        </w:rPr>
        <w:t xml:space="preserve">Introduction: </w:t>
      </w:r>
      <w:r w:rsidRPr="00702CCB">
        <w:rPr>
          <w:rFonts w:ascii="Times New Roman" w:hAnsi="Times New Roman" w:cs="Times New Roman"/>
          <w:sz w:val="24"/>
          <w:szCs w:val="24"/>
          <w:lang w:val="en-US"/>
        </w:rPr>
        <w:t xml:space="preserve">Presenter: Robin Churchill </w:t>
      </w:r>
      <w:r w:rsidR="00493138">
        <w:rPr>
          <w:rFonts w:ascii="Times New Roman" w:hAnsi="Times New Roman" w:cs="Times New Roman"/>
          <w:b/>
          <w:sz w:val="24"/>
          <w:szCs w:val="24"/>
          <w:lang w:val="en-US"/>
        </w:rPr>
        <w:t>12</w:t>
      </w:r>
      <w:r w:rsidRPr="00702CCB">
        <w:rPr>
          <w:rFonts w:ascii="Times New Roman" w:hAnsi="Times New Roman" w:cs="Times New Roman"/>
          <w:b/>
          <w:sz w:val="24"/>
          <w:szCs w:val="24"/>
          <w:lang w:val="en-US"/>
        </w:rPr>
        <w:t>.</w:t>
      </w:r>
      <w:r w:rsidR="00493138">
        <w:rPr>
          <w:rFonts w:ascii="Times New Roman" w:hAnsi="Times New Roman" w:cs="Times New Roman"/>
          <w:b/>
          <w:sz w:val="24"/>
          <w:szCs w:val="24"/>
          <w:lang w:val="en-US"/>
        </w:rPr>
        <w:t>30</w:t>
      </w:r>
      <w:r w:rsidRPr="00702CCB">
        <w:rPr>
          <w:rFonts w:ascii="Times New Roman" w:hAnsi="Times New Roman" w:cs="Times New Roman"/>
          <w:b/>
          <w:sz w:val="24"/>
          <w:szCs w:val="24"/>
          <w:lang w:val="en-US"/>
        </w:rPr>
        <w:t xml:space="preserve"> – 1</w:t>
      </w:r>
      <w:r w:rsidR="00493138">
        <w:rPr>
          <w:rFonts w:ascii="Times New Roman" w:hAnsi="Times New Roman" w:cs="Times New Roman"/>
          <w:b/>
          <w:sz w:val="24"/>
          <w:szCs w:val="24"/>
          <w:lang w:val="en-US"/>
        </w:rPr>
        <w:t>3</w:t>
      </w:r>
      <w:r w:rsidRPr="00702CCB">
        <w:rPr>
          <w:rFonts w:ascii="Times New Roman" w:hAnsi="Times New Roman" w:cs="Times New Roman"/>
          <w:b/>
          <w:sz w:val="24"/>
          <w:szCs w:val="24"/>
          <w:lang w:val="en-US"/>
        </w:rPr>
        <w:t>.</w:t>
      </w:r>
      <w:r w:rsidR="00493138">
        <w:rPr>
          <w:rFonts w:ascii="Times New Roman" w:hAnsi="Times New Roman" w:cs="Times New Roman"/>
          <w:b/>
          <w:sz w:val="24"/>
          <w:szCs w:val="24"/>
          <w:lang w:val="en-US"/>
        </w:rPr>
        <w:t>15</w:t>
      </w:r>
    </w:p>
    <w:p w14:paraId="78E0448B" w14:textId="77777777" w:rsidR="00702CCB" w:rsidRPr="00702CCB" w:rsidRDefault="00702CCB" w:rsidP="00702CCB">
      <w:pPr>
        <w:rPr>
          <w:rFonts w:ascii="Times New Roman" w:hAnsi="Times New Roman" w:cs="Times New Roman"/>
          <w:sz w:val="24"/>
          <w:szCs w:val="24"/>
          <w:lang w:val="en-US"/>
        </w:rPr>
      </w:pPr>
      <w:r w:rsidRPr="00702CCB">
        <w:rPr>
          <w:rFonts w:ascii="Times New Roman" w:hAnsi="Times New Roman" w:cs="Times New Roman"/>
          <w:sz w:val="24"/>
          <w:szCs w:val="24"/>
          <w:lang w:val="en-US"/>
        </w:rPr>
        <w:t xml:space="preserve">An overview of Part XV and a retrospective providing comments on the number of cases, choice of forum, range of issues, range of parties etc; also discussing the central and controversial role that Part XV played in the negotiation and conclusion of the Convention and providing some discussion of the main elements of the </w:t>
      </w:r>
      <w:r w:rsidRPr="00702CCB">
        <w:rPr>
          <w:rFonts w:ascii="Times New Roman" w:hAnsi="Times New Roman" w:cs="Times New Roman"/>
          <w:i/>
          <w:sz w:val="24"/>
          <w:szCs w:val="24"/>
          <w:lang w:val="en-US"/>
        </w:rPr>
        <w:t>travaux</w:t>
      </w:r>
      <w:r w:rsidRPr="00702CCB">
        <w:rPr>
          <w:rFonts w:ascii="Times New Roman" w:hAnsi="Times New Roman" w:cs="Times New Roman"/>
          <w:sz w:val="24"/>
          <w:szCs w:val="24"/>
          <w:lang w:val="en-US"/>
        </w:rPr>
        <w:t>.</w:t>
      </w:r>
    </w:p>
    <w:p w14:paraId="4EB29416" w14:textId="44A3203F" w:rsidR="00702CCB" w:rsidRPr="00702CCB" w:rsidRDefault="00702CCB" w:rsidP="00702CCB">
      <w:pPr>
        <w:rPr>
          <w:rFonts w:ascii="Times New Roman" w:hAnsi="Times New Roman" w:cs="Times New Roman"/>
          <w:b/>
          <w:sz w:val="24"/>
          <w:szCs w:val="24"/>
          <w:lang w:val="en-US"/>
        </w:rPr>
      </w:pPr>
      <w:r w:rsidRPr="00702CCB">
        <w:rPr>
          <w:rFonts w:ascii="Times New Roman" w:hAnsi="Times New Roman" w:cs="Times New Roman"/>
          <w:b/>
          <w:sz w:val="24"/>
          <w:szCs w:val="24"/>
          <w:lang w:val="en-US"/>
        </w:rPr>
        <w:t xml:space="preserve">Characterizing the dispute: </w:t>
      </w:r>
      <w:r w:rsidRPr="00702CCB">
        <w:rPr>
          <w:rFonts w:ascii="Times New Roman" w:hAnsi="Times New Roman" w:cs="Times New Roman"/>
          <w:sz w:val="24"/>
          <w:szCs w:val="24"/>
          <w:lang w:val="en-US"/>
        </w:rPr>
        <w:t xml:space="preserve">Presenter: </w:t>
      </w:r>
      <w:r w:rsidR="00493138">
        <w:rPr>
          <w:rFonts w:ascii="Times New Roman" w:hAnsi="Times New Roman" w:cs="Times New Roman"/>
          <w:sz w:val="24"/>
          <w:szCs w:val="24"/>
          <w:lang w:val="en-US"/>
        </w:rPr>
        <w:t>James Harrison</w:t>
      </w:r>
      <w:r w:rsidRPr="00702CCB">
        <w:rPr>
          <w:rFonts w:ascii="Times New Roman" w:hAnsi="Times New Roman" w:cs="Times New Roman"/>
          <w:sz w:val="24"/>
          <w:szCs w:val="24"/>
          <w:lang w:val="en-US"/>
        </w:rPr>
        <w:t xml:space="preserve"> </w:t>
      </w:r>
      <w:r w:rsidRPr="00702CCB">
        <w:rPr>
          <w:rFonts w:ascii="Times New Roman" w:hAnsi="Times New Roman" w:cs="Times New Roman"/>
          <w:b/>
          <w:sz w:val="24"/>
          <w:szCs w:val="24"/>
          <w:lang w:val="en-US"/>
        </w:rPr>
        <w:t>1</w:t>
      </w:r>
      <w:r w:rsidR="00493138">
        <w:rPr>
          <w:rFonts w:ascii="Times New Roman" w:hAnsi="Times New Roman" w:cs="Times New Roman"/>
          <w:b/>
          <w:sz w:val="24"/>
          <w:szCs w:val="24"/>
          <w:lang w:val="en-US"/>
        </w:rPr>
        <w:t>3</w:t>
      </w:r>
      <w:r w:rsidRPr="00702CCB">
        <w:rPr>
          <w:rFonts w:ascii="Times New Roman" w:hAnsi="Times New Roman" w:cs="Times New Roman"/>
          <w:b/>
          <w:sz w:val="24"/>
          <w:szCs w:val="24"/>
          <w:lang w:val="en-US"/>
        </w:rPr>
        <w:t>.</w:t>
      </w:r>
      <w:r w:rsidR="00493138">
        <w:rPr>
          <w:rFonts w:ascii="Times New Roman" w:hAnsi="Times New Roman" w:cs="Times New Roman"/>
          <w:b/>
          <w:sz w:val="24"/>
          <w:szCs w:val="24"/>
          <w:lang w:val="en-US"/>
        </w:rPr>
        <w:t>15</w:t>
      </w:r>
      <w:r w:rsidRPr="00702CCB">
        <w:rPr>
          <w:rFonts w:ascii="Times New Roman" w:hAnsi="Times New Roman" w:cs="Times New Roman"/>
          <w:b/>
          <w:sz w:val="24"/>
          <w:szCs w:val="24"/>
          <w:lang w:val="en-US"/>
        </w:rPr>
        <w:t xml:space="preserve"> – </w:t>
      </w:r>
      <w:r w:rsidR="00493138">
        <w:rPr>
          <w:rFonts w:ascii="Times New Roman" w:hAnsi="Times New Roman" w:cs="Times New Roman"/>
          <w:b/>
          <w:sz w:val="24"/>
          <w:szCs w:val="24"/>
          <w:lang w:val="en-US"/>
        </w:rPr>
        <w:t>14</w:t>
      </w:r>
      <w:r w:rsidRPr="00702CCB">
        <w:rPr>
          <w:rFonts w:ascii="Times New Roman" w:hAnsi="Times New Roman" w:cs="Times New Roman"/>
          <w:b/>
          <w:sz w:val="24"/>
          <w:szCs w:val="24"/>
          <w:lang w:val="en-US"/>
        </w:rPr>
        <w:t>.</w:t>
      </w:r>
      <w:r w:rsidR="00493138">
        <w:rPr>
          <w:rFonts w:ascii="Times New Roman" w:hAnsi="Times New Roman" w:cs="Times New Roman"/>
          <w:b/>
          <w:sz w:val="24"/>
          <w:szCs w:val="24"/>
          <w:lang w:val="en-US"/>
        </w:rPr>
        <w:t>00</w:t>
      </w:r>
      <w:r w:rsidRPr="00702CCB">
        <w:rPr>
          <w:rFonts w:ascii="Times New Roman" w:hAnsi="Times New Roman" w:cs="Times New Roman"/>
          <w:b/>
          <w:sz w:val="24"/>
          <w:szCs w:val="24"/>
          <w:lang w:val="en-US"/>
        </w:rPr>
        <w:t xml:space="preserve"> </w:t>
      </w:r>
    </w:p>
    <w:p w14:paraId="33E7F91E" w14:textId="77777777" w:rsidR="00702CCB" w:rsidRPr="00702CCB" w:rsidRDefault="00702CCB" w:rsidP="00702CCB">
      <w:pPr>
        <w:rPr>
          <w:rFonts w:ascii="Times New Roman" w:hAnsi="Times New Roman" w:cs="Times New Roman"/>
          <w:sz w:val="24"/>
          <w:szCs w:val="24"/>
          <w:lang w:val="en-US"/>
        </w:rPr>
      </w:pPr>
      <w:r w:rsidRPr="00702CCB">
        <w:rPr>
          <w:rFonts w:ascii="Times New Roman" w:hAnsi="Times New Roman" w:cs="Times New Roman"/>
          <w:sz w:val="24"/>
          <w:szCs w:val="24"/>
          <w:lang w:val="en-US"/>
        </w:rPr>
        <w:t xml:space="preserve">Is there a “dispute” and is there a dispute concerning “the interpretation and application of the Convention”? This has been an issue in a number of cases including older decisions such as </w:t>
      </w:r>
      <w:r w:rsidRPr="00702CCB">
        <w:rPr>
          <w:rFonts w:ascii="Times New Roman" w:hAnsi="Times New Roman" w:cs="Times New Roman"/>
          <w:i/>
          <w:sz w:val="24"/>
          <w:szCs w:val="24"/>
          <w:lang w:val="en-US"/>
        </w:rPr>
        <w:t>Southern Bluefin Tuna</w:t>
      </w:r>
      <w:r w:rsidRPr="00702CCB">
        <w:rPr>
          <w:rFonts w:ascii="Times New Roman" w:hAnsi="Times New Roman" w:cs="Times New Roman"/>
          <w:sz w:val="24"/>
          <w:szCs w:val="24"/>
          <w:lang w:val="en-US"/>
        </w:rPr>
        <w:t xml:space="preserve"> (</w:t>
      </w:r>
      <w:r w:rsidRPr="00702CCB">
        <w:rPr>
          <w:rFonts w:ascii="Times New Roman" w:hAnsi="Times New Roman" w:cs="Times New Roman"/>
          <w:i/>
          <w:sz w:val="24"/>
          <w:szCs w:val="24"/>
          <w:lang w:val="en-US"/>
        </w:rPr>
        <w:t>SBT</w:t>
      </w:r>
      <w:r w:rsidRPr="00702CCB">
        <w:rPr>
          <w:rFonts w:ascii="Times New Roman" w:hAnsi="Times New Roman" w:cs="Times New Roman"/>
          <w:sz w:val="24"/>
          <w:szCs w:val="24"/>
          <w:lang w:val="en-US"/>
        </w:rPr>
        <w:t xml:space="preserve">), as well as more recent decisions such as </w:t>
      </w:r>
      <w:r w:rsidRPr="00702CCB">
        <w:rPr>
          <w:rFonts w:ascii="Times New Roman" w:hAnsi="Times New Roman" w:cs="Times New Roman"/>
          <w:i/>
          <w:sz w:val="24"/>
          <w:szCs w:val="24"/>
          <w:lang w:val="en-US"/>
        </w:rPr>
        <w:t>Chagos</w:t>
      </w:r>
      <w:r w:rsidRPr="00702CCB">
        <w:rPr>
          <w:rFonts w:ascii="Times New Roman" w:hAnsi="Times New Roman" w:cs="Times New Roman"/>
          <w:sz w:val="24"/>
          <w:szCs w:val="24"/>
          <w:lang w:val="en-US"/>
        </w:rPr>
        <w:t xml:space="preserve"> and </w:t>
      </w:r>
      <w:r w:rsidRPr="00702CCB">
        <w:rPr>
          <w:rFonts w:ascii="Times New Roman" w:hAnsi="Times New Roman" w:cs="Times New Roman"/>
          <w:i/>
          <w:sz w:val="24"/>
          <w:szCs w:val="24"/>
          <w:lang w:val="en-US"/>
        </w:rPr>
        <w:t>South China Sea</w:t>
      </w:r>
      <w:r w:rsidRPr="00702CCB">
        <w:rPr>
          <w:rFonts w:ascii="Times New Roman" w:hAnsi="Times New Roman" w:cs="Times New Roman"/>
          <w:sz w:val="24"/>
          <w:szCs w:val="24"/>
          <w:lang w:val="en-US"/>
        </w:rPr>
        <w:t xml:space="preserve">. The issues here include the idea that a dispute can present itself in different ways; but also the idea that Part XV should not be used to litigate disputes that have little connection to LOSC. </w:t>
      </w:r>
    </w:p>
    <w:p w14:paraId="654CC7AB" w14:textId="52424614" w:rsidR="00702CCB" w:rsidRPr="00702CCB" w:rsidRDefault="00493138" w:rsidP="00702CCB">
      <w:pPr>
        <w:rPr>
          <w:rFonts w:ascii="Times New Roman" w:hAnsi="Times New Roman" w:cs="Times New Roman"/>
          <w:sz w:val="24"/>
          <w:szCs w:val="24"/>
          <w:lang w:val="en-US"/>
        </w:rPr>
      </w:pPr>
      <w:r>
        <w:rPr>
          <w:rFonts w:ascii="Times New Roman" w:hAnsi="Times New Roman" w:cs="Times New Roman"/>
          <w:sz w:val="24"/>
          <w:szCs w:val="24"/>
          <w:lang w:val="en-US"/>
        </w:rPr>
        <w:t>Break</w:t>
      </w:r>
      <w:r w:rsidR="00702CCB" w:rsidRPr="00702CCB">
        <w:rPr>
          <w:rFonts w:ascii="Times New Roman" w:hAnsi="Times New Roman" w:cs="Times New Roman"/>
          <w:sz w:val="24"/>
          <w:szCs w:val="24"/>
          <w:lang w:val="en-US"/>
        </w:rPr>
        <w:t xml:space="preserve">: </w:t>
      </w:r>
      <w:r>
        <w:rPr>
          <w:rFonts w:ascii="Times New Roman" w:hAnsi="Times New Roman" w:cs="Times New Roman"/>
          <w:sz w:val="24"/>
          <w:szCs w:val="24"/>
          <w:lang w:val="en-US"/>
        </w:rPr>
        <w:t>14.00 – 14.15</w:t>
      </w:r>
    </w:p>
    <w:p w14:paraId="4D94C7CF" w14:textId="00BE0633" w:rsidR="00702CCB" w:rsidRPr="00702CCB" w:rsidRDefault="00702CCB" w:rsidP="00702CCB">
      <w:pPr>
        <w:rPr>
          <w:rFonts w:ascii="Times New Roman" w:hAnsi="Times New Roman" w:cs="Times New Roman"/>
          <w:sz w:val="24"/>
          <w:szCs w:val="24"/>
          <w:lang w:val="en-US"/>
        </w:rPr>
      </w:pPr>
      <w:r w:rsidRPr="00702CCB">
        <w:rPr>
          <w:rFonts w:ascii="Times New Roman" w:hAnsi="Times New Roman" w:cs="Times New Roman"/>
          <w:b/>
          <w:sz w:val="24"/>
          <w:szCs w:val="24"/>
          <w:lang w:val="en-US"/>
        </w:rPr>
        <w:t>Precluding the Application of Part XV Section 1:</w:t>
      </w:r>
      <w:r w:rsidRPr="00702CCB">
        <w:rPr>
          <w:rFonts w:ascii="Times New Roman" w:hAnsi="Times New Roman" w:cs="Times New Roman"/>
          <w:sz w:val="24"/>
          <w:szCs w:val="24"/>
          <w:lang w:val="en-US"/>
        </w:rPr>
        <w:t xml:space="preserve"> Presenter: Nigel Bankes, 1</w:t>
      </w:r>
      <w:r w:rsidR="00493138">
        <w:rPr>
          <w:rFonts w:ascii="Times New Roman" w:hAnsi="Times New Roman" w:cs="Times New Roman"/>
          <w:sz w:val="24"/>
          <w:szCs w:val="24"/>
          <w:lang w:val="en-US"/>
        </w:rPr>
        <w:t>4</w:t>
      </w:r>
      <w:r w:rsidRPr="00702CCB">
        <w:rPr>
          <w:rFonts w:ascii="Times New Roman" w:hAnsi="Times New Roman" w:cs="Times New Roman"/>
          <w:sz w:val="24"/>
          <w:szCs w:val="24"/>
          <w:lang w:val="en-US"/>
        </w:rPr>
        <w:t>.</w:t>
      </w:r>
      <w:r w:rsidR="00493138">
        <w:rPr>
          <w:rFonts w:ascii="Times New Roman" w:hAnsi="Times New Roman" w:cs="Times New Roman"/>
          <w:sz w:val="24"/>
          <w:szCs w:val="24"/>
          <w:lang w:val="en-US"/>
        </w:rPr>
        <w:t>15</w:t>
      </w:r>
      <w:r w:rsidRPr="00702CCB">
        <w:rPr>
          <w:rFonts w:ascii="Times New Roman" w:hAnsi="Times New Roman" w:cs="Times New Roman"/>
          <w:sz w:val="24"/>
          <w:szCs w:val="24"/>
          <w:lang w:val="en-US"/>
        </w:rPr>
        <w:t xml:space="preserve"> – 1</w:t>
      </w:r>
      <w:r w:rsidR="00493138">
        <w:rPr>
          <w:rFonts w:ascii="Times New Roman" w:hAnsi="Times New Roman" w:cs="Times New Roman"/>
          <w:sz w:val="24"/>
          <w:szCs w:val="24"/>
          <w:lang w:val="en-US"/>
        </w:rPr>
        <w:t>5</w:t>
      </w:r>
      <w:r w:rsidRPr="00702CCB">
        <w:rPr>
          <w:rFonts w:ascii="Times New Roman" w:hAnsi="Times New Roman" w:cs="Times New Roman"/>
          <w:sz w:val="24"/>
          <w:szCs w:val="24"/>
          <w:lang w:val="en-US"/>
        </w:rPr>
        <w:t>.</w:t>
      </w:r>
      <w:r w:rsidR="00493138">
        <w:rPr>
          <w:rFonts w:ascii="Times New Roman" w:hAnsi="Times New Roman" w:cs="Times New Roman"/>
          <w:sz w:val="24"/>
          <w:szCs w:val="24"/>
          <w:lang w:val="en-US"/>
        </w:rPr>
        <w:t>00</w:t>
      </w:r>
    </w:p>
    <w:p w14:paraId="5FC21E1F" w14:textId="77777777" w:rsidR="00702CCB" w:rsidRPr="00702CCB" w:rsidRDefault="00702CCB" w:rsidP="00702CCB">
      <w:pPr>
        <w:rPr>
          <w:rFonts w:ascii="Times New Roman" w:hAnsi="Times New Roman" w:cs="Times New Roman"/>
          <w:sz w:val="24"/>
          <w:szCs w:val="24"/>
          <w:lang w:val="en-US"/>
        </w:rPr>
      </w:pPr>
      <w:r w:rsidRPr="00702CCB">
        <w:rPr>
          <w:rFonts w:ascii="Times New Roman" w:hAnsi="Times New Roman" w:cs="Times New Roman"/>
          <w:sz w:val="24"/>
          <w:szCs w:val="24"/>
          <w:lang w:val="en-US"/>
        </w:rPr>
        <w:t xml:space="preserve">Taken together Articles 280, 281 and 282 provide a suite of possibilities by which parties deliberately (or perhaps unwittingly </w:t>
      </w:r>
      <w:r w:rsidRPr="00702CCB">
        <w:rPr>
          <w:rFonts w:ascii="Times New Roman" w:hAnsi="Times New Roman" w:cs="Times New Roman"/>
          <w:i/>
          <w:sz w:val="24"/>
          <w:szCs w:val="24"/>
          <w:lang w:val="en-US"/>
        </w:rPr>
        <w:t>SBT</w:t>
      </w:r>
      <w:r w:rsidRPr="00702CCB">
        <w:rPr>
          <w:rFonts w:ascii="Times New Roman" w:hAnsi="Times New Roman" w:cs="Times New Roman"/>
          <w:sz w:val="24"/>
          <w:szCs w:val="24"/>
          <w:lang w:val="en-US"/>
        </w:rPr>
        <w:t xml:space="preserve">) may avoid compulsory binding litigation. The scenarios include: (1) an article 281 agreement to use a particular means of dispute resolution of their own choice; (2) an article 282 regional or other agreement to adopt a procedure that entails a binding decision.  There are clearly different views on the interpretive approach to be taken to these articles as revealed by the majority and dissenting (Keith) positions in </w:t>
      </w:r>
      <w:r w:rsidRPr="00702CCB">
        <w:rPr>
          <w:rFonts w:ascii="Times New Roman" w:hAnsi="Times New Roman" w:cs="Times New Roman"/>
          <w:i/>
          <w:sz w:val="24"/>
          <w:szCs w:val="24"/>
          <w:lang w:val="en-US"/>
        </w:rPr>
        <w:t>SBT</w:t>
      </w:r>
      <w:r w:rsidRPr="00702CCB">
        <w:rPr>
          <w:rFonts w:ascii="Times New Roman" w:hAnsi="Times New Roman" w:cs="Times New Roman"/>
          <w:sz w:val="24"/>
          <w:szCs w:val="24"/>
          <w:lang w:val="en-US"/>
        </w:rPr>
        <w:t xml:space="preserve"> and the award on jurisdiction in </w:t>
      </w:r>
      <w:r w:rsidRPr="00702CCB">
        <w:rPr>
          <w:rFonts w:ascii="Times New Roman" w:hAnsi="Times New Roman" w:cs="Times New Roman"/>
          <w:i/>
          <w:sz w:val="24"/>
          <w:szCs w:val="24"/>
          <w:lang w:val="en-US"/>
        </w:rPr>
        <w:t>South China Sea</w:t>
      </w:r>
      <w:r w:rsidRPr="00702CCB">
        <w:rPr>
          <w:rFonts w:ascii="Times New Roman" w:hAnsi="Times New Roman" w:cs="Times New Roman"/>
          <w:sz w:val="24"/>
          <w:szCs w:val="24"/>
          <w:lang w:val="en-US"/>
        </w:rPr>
        <w:t>. It is anticipated that this paper would also cover the somewhat different content of Article 283 (obligation to exchange views on mode of settlement) which has also been interpreted as a jurisdictional provision.</w:t>
      </w:r>
    </w:p>
    <w:p w14:paraId="4D9E0F27" w14:textId="77777777" w:rsidR="00702CCB" w:rsidRDefault="00702CCB" w:rsidP="00702CCB">
      <w:pPr>
        <w:rPr>
          <w:rFonts w:ascii="Times New Roman" w:hAnsi="Times New Roman" w:cs="Times New Roman"/>
          <w:b/>
          <w:sz w:val="24"/>
          <w:szCs w:val="24"/>
          <w:lang w:val="en-US"/>
        </w:rPr>
      </w:pPr>
    </w:p>
    <w:p w14:paraId="43B81A84" w14:textId="77777777" w:rsidR="00702CCB" w:rsidRDefault="00702CCB" w:rsidP="00702CCB">
      <w:pPr>
        <w:rPr>
          <w:rFonts w:ascii="Times New Roman" w:hAnsi="Times New Roman" w:cs="Times New Roman"/>
          <w:b/>
          <w:sz w:val="24"/>
          <w:szCs w:val="24"/>
          <w:lang w:val="en-US"/>
        </w:rPr>
      </w:pPr>
    </w:p>
    <w:p w14:paraId="350A87DE" w14:textId="2DF53E88" w:rsidR="00702CCB" w:rsidRPr="00702CCB" w:rsidRDefault="00702CCB" w:rsidP="00702CCB">
      <w:pPr>
        <w:rPr>
          <w:rFonts w:ascii="Times New Roman" w:hAnsi="Times New Roman" w:cs="Times New Roman"/>
          <w:b/>
          <w:sz w:val="24"/>
          <w:szCs w:val="24"/>
          <w:lang w:val="en-US"/>
        </w:rPr>
      </w:pPr>
      <w:r w:rsidRPr="00702CCB">
        <w:rPr>
          <w:rFonts w:ascii="Times New Roman" w:hAnsi="Times New Roman" w:cs="Times New Roman"/>
          <w:b/>
          <w:sz w:val="24"/>
          <w:szCs w:val="24"/>
          <w:lang w:val="en-US"/>
        </w:rPr>
        <w:t xml:space="preserve">The General Exceptions: Article 297: </w:t>
      </w:r>
      <w:r w:rsidRPr="00702CCB">
        <w:rPr>
          <w:rFonts w:ascii="Times New Roman" w:hAnsi="Times New Roman" w:cs="Times New Roman"/>
          <w:sz w:val="24"/>
          <w:szCs w:val="24"/>
          <w:lang w:val="en-US"/>
        </w:rPr>
        <w:t xml:space="preserve"> Presenter:</w:t>
      </w:r>
      <w:r w:rsidRPr="00702CCB">
        <w:rPr>
          <w:rFonts w:ascii="Times New Roman" w:hAnsi="Times New Roman" w:cs="Times New Roman"/>
          <w:b/>
          <w:bCs/>
          <w:color w:val="000000"/>
          <w:sz w:val="24"/>
          <w:szCs w:val="24"/>
          <w:lang w:val="en-US"/>
        </w:rPr>
        <w:t xml:space="preserve"> </w:t>
      </w:r>
      <w:r w:rsidRPr="00702CCB">
        <w:rPr>
          <w:rFonts w:ascii="Times New Roman" w:eastAsia="Times New Roman" w:hAnsi="Times New Roman" w:cs="Times New Roman"/>
          <w:bCs/>
          <w:color w:val="000000"/>
          <w:sz w:val="24"/>
          <w:szCs w:val="24"/>
          <w:lang w:val="en-US" w:eastAsia="fr-CA"/>
        </w:rPr>
        <w:t xml:space="preserve">Stephen Allen, </w:t>
      </w:r>
      <w:r w:rsidR="00493138">
        <w:rPr>
          <w:rFonts w:ascii="Times New Roman" w:eastAsia="Times New Roman" w:hAnsi="Times New Roman" w:cs="Times New Roman"/>
          <w:b/>
          <w:bCs/>
          <w:color w:val="000000"/>
          <w:sz w:val="24"/>
          <w:szCs w:val="24"/>
          <w:lang w:val="en-US" w:eastAsia="fr-CA"/>
        </w:rPr>
        <w:t>15.00</w:t>
      </w:r>
      <w:r w:rsidRPr="00702CCB">
        <w:rPr>
          <w:rFonts w:ascii="Times New Roman" w:eastAsia="Times New Roman" w:hAnsi="Times New Roman" w:cs="Times New Roman"/>
          <w:b/>
          <w:bCs/>
          <w:color w:val="000000"/>
          <w:sz w:val="24"/>
          <w:szCs w:val="24"/>
          <w:lang w:val="en-US" w:eastAsia="fr-CA"/>
        </w:rPr>
        <w:t xml:space="preserve"> – </w:t>
      </w:r>
      <w:r w:rsidR="00493138">
        <w:rPr>
          <w:rFonts w:ascii="Times New Roman" w:eastAsia="Times New Roman" w:hAnsi="Times New Roman" w:cs="Times New Roman"/>
          <w:b/>
          <w:bCs/>
          <w:color w:val="000000"/>
          <w:sz w:val="24"/>
          <w:szCs w:val="24"/>
          <w:lang w:val="en-US" w:eastAsia="fr-CA"/>
        </w:rPr>
        <w:t>15.45</w:t>
      </w:r>
    </w:p>
    <w:p w14:paraId="700B2C1B" w14:textId="77777777" w:rsidR="00702CCB" w:rsidRPr="00702CCB" w:rsidRDefault="00702CCB" w:rsidP="00702CCB">
      <w:pPr>
        <w:rPr>
          <w:rFonts w:ascii="Times New Roman" w:hAnsi="Times New Roman" w:cs="Times New Roman"/>
          <w:sz w:val="24"/>
          <w:szCs w:val="24"/>
          <w:lang w:val="en-US"/>
        </w:rPr>
      </w:pPr>
      <w:r w:rsidRPr="00702CCB">
        <w:rPr>
          <w:rFonts w:ascii="Times New Roman" w:hAnsi="Times New Roman" w:cs="Times New Roman"/>
          <w:sz w:val="24"/>
          <w:szCs w:val="24"/>
          <w:lang w:val="en-US"/>
        </w:rPr>
        <w:t xml:space="preserve">Article 297 is a convoluted provision which (contrary to its title) both specifically affirms the applicability of compulsory dispute resolution in some instances but also excludes it in others. The Article was the subject of considerable comment in the </w:t>
      </w:r>
      <w:r w:rsidRPr="00702CCB">
        <w:rPr>
          <w:rFonts w:ascii="Times New Roman" w:hAnsi="Times New Roman" w:cs="Times New Roman"/>
          <w:i/>
          <w:sz w:val="24"/>
          <w:szCs w:val="24"/>
          <w:lang w:val="en-US"/>
        </w:rPr>
        <w:t>Chagos</w:t>
      </w:r>
      <w:r w:rsidRPr="00702CCB">
        <w:rPr>
          <w:rFonts w:ascii="Times New Roman" w:hAnsi="Times New Roman" w:cs="Times New Roman"/>
          <w:sz w:val="24"/>
          <w:szCs w:val="24"/>
          <w:lang w:val="en-US"/>
        </w:rPr>
        <w:t xml:space="preserve"> Award. </w:t>
      </w:r>
    </w:p>
    <w:p w14:paraId="77A80D8D" w14:textId="1C679E88" w:rsidR="00702CCB" w:rsidRPr="00702CCB" w:rsidRDefault="00702CCB" w:rsidP="00702CCB">
      <w:pPr>
        <w:rPr>
          <w:rFonts w:ascii="Times New Roman" w:hAnsi="Times New Roman" w:cs="Times New Roman"/>
          <w:b/>
          <w:sz w:val="24"/>
          <w:szCs w:val="24"/>
          <w:lang w:val="en-US"/>
        </w:rPr>
      </w:pPr>
      <w:r w:rsidRPr="00702CCB">
        <w:rPr>
          <w:rFonts w:ascii="Times New Roman" w:hAnsi="Times New Roman" w:cs="Times New Roman"/>
          <w:b/>
          <w:sz w:val="24"/>
          <w:szCs w:val="24"/>
          <w:lang w:val="en-US"/>
        </w:rPr>
        <w:t xml:space="preserve">Break </w:t>
      </w:r>
      <w:r w:rsidR="00493138">
        <w:rPr>
          <w:rFonts w:ascii="Times New Roman" w:hAnsi="Times New Roman" w:cs="Times New Roman"/>
          <w:b/>
          <w:sz w:val="24"/>
          <w:szCs w:val="24"/>
          <w:lang w:val="en-US"/>
        </w:rPr>
        <w:t>15.45</w:t>
      </w:r>
      <w:r w:rsidRPr="00702CCB">
        <w:rPr>
          <w:rFonts w:ascii="Times New Roman" w:hAnsi="Times New Roman" w:cs="Times New Roman"/>
          <w:b/>
          <w:sz w:val="24"/>
          <w:szCs w:val="24"/>
          <w:lang w:val="en-US"/>
        </w:rPr>
        <w:t xml:space="preserve"> – </w:t>
      </w:r>
      <w:r w:rsidR="00493138">
        <w:rPr>
          <w:rFonts w:ascii="Times New Roman" w:hAnsi="Times New Roman" w:cs="Times New Roman"/>
          <w:b/>
          <w:sz w:val="24"/>
          <w:szCs w:val="24"/>
          <w:lang w:val="en-US"/>
        </w:rPr>
        <w:t>16.00</w:t>
      </w:r>
    </w:p>
    <w:p w14:paraId="051CE345" w14:textId="02A15509" w:rsidR="00702CCB" w:rsidRPr="00702CCB" w:rsidRDefault="00702CCB" w:rsidP="00702CCB">
      <w:pPr>
        <w:rPr>
          <w:rFonts w:ascii="Times New Roman" w:hAnsi="Times New Roman" w:cs="Times New Roman"/>
          <w:b/>
          <w:sz w:val="24"/>
          <w:szCs w:val="24"/>
          <w:lang w:val="en-US"/>
        </w:rPr>
      </w:pPr>
      <w:r w:rsidRPr="00702CCB">
        <w:rPr>
          <w:rFonts w:ascii="Times New Roman" w:hAnsi="Times New Roman" w:cs="Times New Roman"/>
          <w:b/>
          <w:sz w:val="24"/>
          <w:szCs w:val="24"/>
          <w:lang w:val="en-US"/>
        </w:rPr>
        <w:t>The Optional Exceptions: Article 298:</w:t>
      </w:r>
      <w:r w:rsidRPr="00702CCB">
        <w:rPr>
          <w:rFonts w:ascii="Times New Roman" w:hAnsi="Times New Roman" w:cs="Times New Roman"/>
          <w:sz w:val="24"/>
          <w:szCs w:val="24"/>
          <w:lang w:val="en-US"/>
        </w:rPr>
        <w:t xml:space="preserve"> Presenter: Keyuan Zou </w:t>
      </w:r>
      <w:r w:rsidR="00493138" w:rsidRPr="00493138">
        <w:rPr>
          <w:rFonts w:ascii="Times New Roman" w:hAnsi="Times New Roman" w:cs="Times New Roman"/>
          <w:b/>
          <w:sz w:val="24"/>
          <w:szCs w:val="24"/>
          <w:lang w:val="en-US"/>
        </w:rPr>
        <w:t>16.00</w:t>
      </w:r>
      <w:r w:rsidRPr="00493138">
        <w:rPr>
          <w:rFonts w:ascii="Times New Roman" w:hAnsi="Times New Roman" w:cs="Times New Roman"/>
          <w:b/>
          <w:sz w:val="24"/>
          <w:szCs w:val="24"/>
          <w:lang w:val="en-US"/>
        </w:rPr>
        <w:t xml:space="preserve"> – </w:t>
      </w:r>
      <w:r w:rsidR="00493138" w:rsidRPr="00493138">
        <w:rPr>
          <w:rFonts w:ascii="Times New Roman" w:hAnsi="Times New Roman" w:cs="Times New Roman"/>
          <w:b/>
          <w:sz w:val="24"/>
          <w:szCs w:val="24"/>
          <w:lang w:val="en-US"/>
        </w:rPr>
        <w:t>16.45</w:t>
      </w:r>
    </w:p>
    <w:p w14:paraId="40478A16" w14:textId="77777777" w:rsidR="00702CCB" w:rsidRPr="00702CCB" w:rsidRDefault="00702CCB" w:rsidP="00702CCB">
      <w:pPr>
        <w:rPr>
          <w:rFonts w:ascii="Times New Roman" w:hAnsi="Times New Roman" w:cs="Times New Roman"/>
          <w:sz w:val="24"/>
          <w:szCs w:val="24"/>
          <w:lang w:val="en-US"/>
        </w:rPr>
      </w:pPr>
      <w:r w:rsidRPr="00702CCB">
        <w:rPr>
          <w:rFonts w:ascii="Times New Roman" w:hAnsi="Times New Roman" w:cs="Times New Roman"/>
          <w:sz w:val="24"/>
          <w:szCs w:val="24"/>
          <w:lang w:val="en-US"/>
        </w:rPr>
        <w:t xml:space="preserve">Article 298 allows individual states to exclude certain categories of disputes from compulsory jurisdiction. The paper on Article 298 will provide an account of state practice under Article 298 and also discuss the relevant jurisprudence on Article 298 including </w:t>
      </w:r>
      <w:r w:rsidRPr="00702CCB">
        <w:rPr>
          <w:rFonts w:ascii="Times New Roman" w:hAnsi="Times New Roman" w:cs="Times New Roman"/>
          <w:i/>
          <w:sz w:val="24"/>
          <w:szCs w:val="24"/>
          <w:lang w:val="en-US"/>
        </w:rPr>
        <w:t>Chagos</w:t>
      </w:r>
      <w:r w:rsidRPr="00702CCB">
        <w:rPr>
          <w:rFonts w:ascii="Times New Roman" w:hAnsi="Times New Roman" w:cs="Times New Roman"/>
          <w:sz w:val="24"/>
          <w:szCs w:val="24"/>
          <w:lang w:val="en-US"/>
        </w:rPr>
        <w:t xml:space="preserve">, </w:t>
      </w:r>
      <w:r w:rsidRPr="00702CCB">
        <w:rPr>
          <w:rFonts w:ascii="Times New Roman" w:hAnsi="Times New Roman" w:cs="Times New Roman"/>
          <w:i/>
          <w:sz w:val="24"/>
          <w:szCs w:val="24"/>
          <w:lang w:val="en-US"/>
        </w:rPr>
        <w:t>South China Sea</w:t>
      </w:r>
      <w:r w:rsidRPr="00702CCB">
        <w:rPr>
          <w:rFonts w:ascii="Times New Roman" w:hAnsi="Times New Roman" w:cs="Times New Roman"/>
          <w:sz w:val="24"/>
          <w:szCs w:val="24"/>
          <w:lang w:val="en-US"/>
        </w:rPr>
        <w:t xml:space="preserve"> and the </w:t>
      </w:r>
      <w:r w:rsidRPr="00702CCB">
        <w:rPr>
          <w:rFonts w:ascii="Times New Roman" w:hAnsi="Times New Roman" w:cs="Times New Roman"/>
          <w:i/>
          <w:sz w:val="24"/>
          <w:szCs w:val="24"/>
          <w:lang w:val="en-US"/>
        </w:rPr>
        <w:t>Arctic Sunrise</w:t>
      </w:r>
      <w:r w:rsidRPr="00702CCB">
        <w:rPr>
          <w:rFonts w:ascii="Times New Roman" w:hAnsi="Times New Roman" w:cs="Times New Roman"/>
          <w:sz w:val="24"/>
          <w:szCs w:val="24"/>
          <w:lang w:val="en-US"/>
        </w:rPr>
        <w:t>.</w:t>
      </w:r>
    </w:p>
    <w:p w14:paraId="1389346E" w14:textId="41F31740" w:rsidR="00702CCB" w:rsidRPr="00493138" w:rsidRDefault="00493138" w:rsidP="00702CCB">
      <w:pPr>
        <w:rPr>
          <w:rFonts w:ascii="Times New Roman" w:hAnsi="Times New Roman" w:cs="Times New Roman"/>
          <w:b/>
          <w:sz w:val="24"/>
          <w:szCs w:val="24"/>
          <w:lang w:val="en-US"/>
        </w:rPr>
      </w:pPr>
      <w:r>
        <w:rPr>
          <w:rFonts w:ascii="Times New Roman" w:hAnsi="Times New Roman" w:cs="Times New Roman"/>
          <w:b/>
          <w:sz w:val="24"/>
          <w:szCs w:val="24"/>
          <w:lang w:val="en-US"/>
        </w:rPr>
        <w:t>General Discussion: 16.45 – 17</w:t>
      </w:r>
      <w:r w:rsidR="00702CCB" w:rsidRPr="00493138">
        <w:rPr>
          <w:rFonts w:ascii="Times New Roman" w:hAnsi="Times New Roman" w:cs="Times New Roman"/>
          <w:b/>
          <w:sz w:val="24"/>
          <w:szCs w:val="24"/>
          <w:lang w:val="en-US"/>
        </w:rPr>
        <w:t>.30</w:t>
      </w:r>
    </w:p>
    <w:p w14:paraId="11AD098D" w14:textId="77777777" w:rsidR="00702CCB" w:rsidRPr="00493138" w:rsidRDefault="00702CCB" w:rsidP="00702CCB">
      <w:pPr>
        <w:rPr>
          <w:rFonts w:ascii="Times New Roman" w:hAnsi="Times New Roman" w:cs="Times New Roman"/>
          <w:b/>
          <w:sz w:val="24"/>
          <w:szCs w:val="24"/>
          <w:lang w:val="en-US"/>
        </w:rPr>
      </w:pPr>
      <w:r w:rsidRPr="00493138">
        <w:rPr>
          <w:rFonts w:ascii="Times New Roman" w:hAnsi="Times New Roman" w:cs="Times New Roman"/>
          <w:b/>
          <w:sz w:val="24"/>
          <w:szCs w:val="24"/>
          <w:lang w:val="en-US"/>
        </w:rPr>
        <w:t>September 22</w:t>
      </w:r>
    </w:p>
    <w:p w14:paraId="3654126E" w14:textId="77777777" w:rsidR="00702CCB" w:rsidRPr="00702CCB" w:rsidRDefault="00702CCB" w:rsidP="00702CCB">
      <w:pPr>
        <w:rPr>
          <w:rFonts w:ascii="Times New Roman" w:hAnsi="Times New Roman" w:cs="Times New Roman"/>
          <w:sz w:val="24"/>
          <w:szCs w:val="24"/>
          <w:lang w:val="en-US"/>
        </w:rPr>
      </w:pPr>
      <w:r w:rsidRPr="00702CCB">
        <w:rPr>
          <w:rFonts w:ascii="Times New Roman" w:hAnsi="Times New Roman" w:cs="Times New Roman"/>
          <w:b/>
          <w:sz w:val="24"/>
          <w:szCs w:val="24"/>
          <w:lang w:val="en-US"/>
        </w:rPr>
        <w:t xml:space="preserve">The jurisdictional implications of the </w:t>
      </w:r>
      <w:r w:rsidRPr="00702CCB">
        <w:rPr>
          <w:rFonts w:ascii="Times New Roman" w:hAnsi="Times New Roman" w:cs="Times New Roman"/>
          <w:b/>
          <w:i/>
          <w:sz w:val="24"/>
          <w:szCs w:val="24"/>
          <w:lang w:val="en-US"/>
        </w:rPr>
        <w:t>renvoi</w:t>
      </w:r>
      <w:r w:rsidRPr="00702CCB">
        <w:rPr>
          <w:rFonts w:ascii="Times New Roman" w:hAnsi="Times New Roman" w:cs="Times New Roman"/>
          <w:b/>
          <w:sz w:val="24"/>
          <w:szCs w:val="24"/>
          <w:lang w:val="en-US"/>
        </w:rPr>
        <w:t xml:space="preserve"> references in LOSC:</w:t>
      </w:r>
      <w:r w:rsidRPr="00702CCB">
        <w:rPr>
          <w:rFonts w:ascii="Times New Roman" w:hAnsi="Times New Roman" w:cs="Times New Roman"/>
          <w:sz w:val="24"/>
          <w:szCs w:val="24"/>
          <w:lang w:val="en-US"/>
        </w:rPr>
        <w:t xml:space="preserve"> Presenter: Kate Parlett </w:t>
      </w:r>
      <w:r w:rsidRPr="00702CCB">
        <w:rPr>
          <w:rFonts w:ascii="Times New Roman" w:hAnsi="Times New Roman" w:cs="Times New Roman"/>
          <w:b/>
          <w:sz w:val="24"/>
          <w:szCs w:val="24"/>
          <w:lang w:val="en-US"/>
        </w:rPr>
        <w:t>09.00 – 09.45</w:t>
      </w:r>
    </w:p>
    <w:p w14:paraId="5253E63E" w14:textId="77777777" w:rsidR="00702CCB" w:rsidRPr="00702CCB" w:rsidRDefault="00702CCB" w:rsidP="00702CCB">
      <w:pPr>
        <w:rPr>
          <w:rFonts w:ascii="Times New Roman" w:hAnsi="Times New Roman" w:cs="Times New Roman"/>
          <w:sz w:val="24"/>
          <w:szCs w:val="24"/>
          <w:lang w:val="en-US"/>
        </w:rPr>
      </w:pPr>
      <w:r w:rsidRPr="00702CCB">
        <w:rPr>
          <w:rFonts w:ascii="Times New Roman" w:hAnsi="Times New Roman" w:cs="Times New Roman"/>
          <w:sz w:val="24"/>
          <w:szCs w:val="24"/>
          <w:lang w:val="en-US"/>
        </w:rPr>
        <w:t xml:space="preserve">While LOSC codified much of the law sea in many cases it also refers to the continued applicability of other rules of international law, whether general or specific.  It is clear that such references make such norms part of the relevant law for the purposes of Part XV (article 293) but several decisions including </w:t>
      </w:r>
      <w:r w:rsidRPr="00702CCB">
        <w:rPr>
          <w:rFonts w:ascii="Times New Roman" w:hAnsi="Times New Roman" w:cs="Times New Roman"/>
          <w:i/>
          <w:sz w:val="24"/>
          <w:szCs w:val="24"/>
          <w:lang w:val="en-US"/>
        </w:rPr>
        <w:t>Chagos</w:t>
      </w:r>
      <w:r w:rsidRPr="00702CCB">
        <w:rPr>
          <w:rFonts w:ascii="Times New Roman" w:hAnsi="Times New Roman" w:cs="Times New Roman"/>
          <w:sz w:val="24"/>
          <w:szCs w:val="24"/>
          <w:lang w:val="en-US"/>
        </w:rPr>
        <w:t xml:space="preserve">, </w:t>
      </w:r>
      <w:r w:rsidRPr="00702CCB">
        <w:rPr>
          <w:rFonts w:ascii="Times New Roman" w:hAnsi="Times New Roman" w:cs="Times New Roman"/>
          <w:i/>
          <w:sz w:val="24"/>
          <w:szCs w:val="24"/>
          <w:lang w:val="en-US"/>
        </w:rPr>
        <w:t>South China Sea</w:t>
      </w:r>
      <w:r w:rsidRPr="00702CCB">
        <w:rPr>
          <w:rFonts w:ascii="Times New Roman" w:hAnsi="Times New Roman" w:cs="Times New Roman"/>
          <w:sz w:val="24"/>
          <w:szCs w:val="24"/>
          <w:lang w:val="en-US"/>
        </w:rPr>
        <w:t xml:space="preserve"> and </w:t>
      </w:r>
      <w:r w:rsidRPr="00702CCB">
        <w:rPr>
          <w:rFonts w:ascii="Times New Roman" w:hAnsi="Times New Roman" w:cs="Times New Roman"/>
          <w:i/>
          <w:sz w:val="24"/>
          <w:szCs w:val="24"/>
          <w:lang w:val="en-US"/>
        </w:rPr>
        <w:t>Arctic Sunrise</w:t>
      </w:r>
      <w:r w:rsidRPr="00702CCB">
        <w:rPr>
          <w:rFonts w:ascii="Times New Roman" w:hAnsi="Times New Roman" w:cs="Times New Roman"/>
          <w:sz w:val="24"/>
          <w:szCs w:val="24"/>
          <w:lang w:val="en-US"/>
        </w:rPr>
        <w:t xml:space="preserve"> suggest that these references may also have jurisdictional implications insofar as they may serve to expand the matters that may be considered to be disputes as to the interpretation or application of the Convention. </w:t>
      </w:r>
    </w:p>
    <w:p w14:paraId="77B4C205" w14:textId="77777777" w:rsidR="00702CCB" w:rsidRPr="00702CCB" w:rsidRDefault="00702CCB" w:rsidP="00702CCB">
      <w:pPr>
        <w:rPr>
          <w:rFonts w:ascii="Times New Roman" w:hAnsi="Times New Roman" w:cs="Times New Roman"/>
          <w:b/>
          <w:sz w:val="24"/>
          <w:szCs w:val="24"/>
          <w:lang w:val="en-US"/>
        </w:rPr>
      </w:pPr>
      <w:r w:rsidRPr="00702CCB">
        <w:rPr>
          <w:rFonts w:ascii="Times New Roman" w:hAnsi="Times New Roman" w:cs="Times New Roman"/>
          <w:b/>
          <w:sz w:val="24"/>
          <w:szCs w:val="24"/>
          <w:lang w:val="en-US"/>
        </w:rPr>
        <w:t>Participating International Organizations and Dispute settlement under LOSC: Annex IX, Article 7.</w:t>
      </w:r>
      <w:r w:rsidRPr="00702CCB">
        <w:rPr>
          <w:rFonts w:ascii="Times New Roman" w:hAnsi="Times New Roman" w:cs="Times New Roman"/>
          <w:sz w:val="24"/>
          <w:szCs w:val="24"/>
          <w:lang w:val="en-US"/>
        </w:rPr>
        <w:t xml:space="preserve"> Presenter: Erik Franckx, </w:t>
      </w:r>
      <w:r w:rsidRPr="00702CCB">
        <w:rPr>
          <w:rFonts w:ascii="Times New Roman" w:hAnsi="Times New Roman" w:cs="Times New Roman"/>
          <w:b/>
          <w:sz w:val="24"/>
          <w:szCs w:val="24"/>
          <w:lang w:val="en-US"/>
        </w:rPr>
        <w:t>09.45 - 10.30</w:t>
      </w:r>
    </w:p>
    <w:p w14:paraId="6C84306D" w14:textId="77777777" w:rsidR="00702CCB" w:rsidRPr="00702CCB" w:rsidRDefault="00702CCB" w:rsidP="00702CCB">
      <w:pPr>
        <w:rPr>
          <w:rFonts w:ascii="Times New Roman" w:hAnsi="Times New Roman" w:cs="Times New Roman"/>
          <w:b/>
          <w:sz w:val="24"/>
          <w:szCs w:val="24"/>
          <w:lang w:val="en-US"/>
        </w:rPr>
      </w:pPr>
      <w:r w:rsidRPr="00702CCB">
        <w:rPr>
          <w:rFonts w:ascii="Times New Roman" w:hAnsi="Times New Roman" w:cs="Times New Roman"/>
          <w:b/>
          <w:sz w:val="24"/>
          <w:szCs w:val="24"/>
          <w:lang w:val="en-US"/>
        </w:rPr>
        <w:t>Break 10.30 – 10.45</w:t>
      </w:r>
    </w:p>
    <w:p w14:paraId="2642B41E" w14:textId="77777777" w:rsidR="00702CCB" w:rsidRPr="00702CCB" w:rsidRDefault="00702CCB" w:rsidP="00702CCB">
      <w:pPr>
        <w:rPr>
          <w:rFonts w:ascii="Times New Roman" w:hAnsi="Times New Roman" w:cs="Times New Roman"/>
          <w:sz w:val="24"/>
          <w:szCs w:val="24"/>
          <w:lang w:val="en-US"/>
        </w:rPr>
      </w:pPr>
      <w:r w:rsidRPr="00702CCB">
        <w:rPr>
          <w:rFonts w:ascii="Times New Roman" w:hAnsi="Times New Roman" w:cs="Times New Roman"/>
          <w:b/>
          <w:color w:val="000000"/>
          <w:sz w:val="24"/>
          <w:szCs w:val="24"/>
          <w:lang w:val="en-US"/>
        </w:rPr>
        <w:t>Jurisdiction and admissibility issues associated with prompt release applications under Article 292</w:t>
      </w:r>
      <w:r w:rsidRPr="00702CCB">
        <w:rPr>
          <w:rFonts w:ascii="Times New Roman" w:hAnsi="Times New Roman" w:cs="Times New Roman"/>
          <w:sz w:val="24"/>
          <w:szCs w:val="24"/>
          <w:lang w:val="en-US"/>
        </w:rPr>
        <w:t xml:space="preserve"> Presenter: Seline Trevisanut, </w:t>
      </w:r>
      <w:r w:rsidRPr="00702CCB">
        <w:rPr>
          <w:rFonts w:ascii="Times New Roman" w:hAnsi="Times New Roman" w:cs="Times New Roman"/>
          <w:b/>
          <w:sz w:val="24"/>
          <w:szCs w:val="24"/>
          <w:lang w:val="en-US"/>
        </w:rPr>
        <w:t>10.45 – 11.30</w:t>
      </w:r>
    </w:p>
    <w:p w14:paraId="6804B9BD" w14:textId="77777777" w:rsidR="00702CCB" w:rsidRDefault="00702CCB" w:rsidP="00702CCB">
      <w:pPr>
        <w:rPr>
          <w:rFonts w:ascii="Times New Roman" w:hAnsi="Times New Roman" w:cs="Times New Roman"/>
          <w:b/>
          <w:sz w:val="24"/>
          <w:szCs w:val="24"/>
        </w:rPr>
      </w:pPr>
      <w:r w:rsidRPr="00951B00">
        <w:rPr>
          <w:rFonts w:ascii="Times New Roman" w:hAnsi="Times New Roman" w:cs="Times New Roman"/>
          <w:b/>
          <w:sz w:val="24"/>
          <w:szCs w:val="24"/>
        </w:rPr>
        <w:t>Closing Discussion: 11.30 – 12.00</w:t>
      </w:r>
    </w:p>
    <w:p w14:paraId="25CFB9A9" w14:textId="71E839B3" w:rsidR="00493138" w:rsidRPr="00951B00" w:rsidRDefault="00493138" w:rsidP="00702CCB">
      <w:pPr>
        <w:rPr>
          <w:rFonts w:ascii="Times New Roman" w:hAnsi="Times New Roman" w:cs="Times New Roman"/>
          <w:b/>
          <w:sz w:val="24"/>
          <w:szCs w:val="24"/>
        </w:rPr>
      </w:pPr>
      <w:r>
        <w:rPr>
          <w:rFonts w:ascii="Times New Roman" w:hAnsi="Times New Roman" w:cs="Times New Roman"/>
          <w:b/>
          <w:sz w:val="24"/>
          <w:szCs w:val="24"/>
        </w:rPr>
        <w:t>Lunch 12.00 – 13.00</w:t>
      </w:r>
      <w:bookmarkStart w:id="0" w:name="_GoBack"/>
      <w:bookmarkEnd w:id="0"/>
    </w:p>
    <w:p w14:paraId="566E8005" w14:textId="77777777" w:rsidR="00702CCB" w:rsidRPr="00702CCB" w:rsidRDefault="00702CCB">
      <w:pPr>
        <w:rPr>
          <w:lang w:val="en-US"/>
        </w:rPr>
      </w:pPr>
    </w:p>
    <w:p w14:paraId="40B2003C" w14:textId="77777777" w:rsidR="000B62A5" w:rsidRPr="00702CCB" w:rsidRDefault="000B62A5">
      <w:pPr>
        <w:rPr>
          <w:lang w:val="en-US"/>
        </w:rPr>
      </w:pPr>
    </w:p>
    <w:sectPr w:rsidR="000B62A5" w:rsidRPr="00702CC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0AA5A" w14:textId="77777777" w:rsidR="00345FAE" w:rsidRDefault="00345FAE" w:rsidP="00F57E44">
      <w:pPr>
        <w:spacing w:after="0" w:line="240" w:lineRule="auto"/>
      </w:pPr>
      <w:r>
        <w:separator/>
      </w:r>
    </w:p>
  </w:endnote>
  <w:endnote w:type="continuationSeparator" w:id="0">
    <w:p w14:paraId="46FFBE64" w14:textId="77777777" w:rsidR="00345FAE" w:rsidRDefault="00345FAE" w:rsidP="00F57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ED814" w14:textId="77777777" w:rsidR="00345FAE" w:rsidRDefault="00345FAE" w:rsidP="00F57E44">
      <w:pPr>
        <w:spacing w:after="0" w:line="240" w:lineRule="auto"/>
      </w:pPr>
      <w:r>
        <w:separator/>
      </w:r>
    </w:p>
  </w:footnote>
  <w:footnote w:type="continuationSeparator" w:id="0">
    <w:p w14:paraId="497F4372" w14:textId="77777777" w:rsidR="00345FAE" w:rsidRDefault="00345FAE" w:rsidP="00F57E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6DB76" w14:textId="77777777" w:rsidR="00524CE4" w:rsidRDefault="00524CE4">
    <w:pPr>
      <w:pStyle w:val="Header"/>
    </w:pPr>
    <w:r>
      <w:rPr>
        <w:noProof/>
        <w:lang w:eastAsia="nb-NO"/>
      </w:rPr>
      <w:drawing>
        <wp:inline distT="0" distB="0" distL="0" distR="0" wp14:anchorId="446C6DFA" wp14:editId="0EC3D941">
          <wp:extent cx="5761355"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3152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E44"/>
    <w:rsid w:val="00004B07"/>
    <w:rsid w:val="000A0D7C"/>
    <w:rsid w:val="000B62A5"/>
    <w:rsid w:val="000B6D9B"/>
    <w:rsid w:val="001174AC"/>
    <w:rsid w:val="001B6749"/>
    <w:rsid w:val="00211F0B"/>
    <w:rsid w:val="00345FAE"/>
    <w:rsid w:val="00367B83"/>
    <w:rsid w:val="00435993"/>
    <w:rsid w:val="00440DE2"/>
    <w:rsid w:val="00493138"/>
    <w:rsid w:val="004B6539"/>
    <w:rsid w:val="00524CE4"/>
    <w:rsid w:val="00545CA1"/>
    <w:rsid w:val="00702CCB"/>
    <w:rsid w:val="00732B0A"/>
    <w:rsid w:val="00867A6C"/>
    <w:rsid w:val="00880D59"/>
    <w:rsid w:val="008C0703"/>
    <w:rsid w:val="0090649B"/>
    <w:rsid w:val="009931D8"/>
    <w:rsid w:val="00A82DF9"/>
    <w:rsid w:val="00AB3CE8"/>
    <w:rsid w:val="00C27C00"/>
    <w:rsid w:val="00CB7252"/>
    <w:rsid w:val="00F57E4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033182"/>
  <w15:chartTrackingRefBased/>
  <w15:docId w15:val="{18A94D60-430B-45B9-A371-198C7B99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57E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57E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E4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7E44"/>
  </w:style>
  <w:style w:type="paragraph" w:styleId="Footer">
    <w:name w:val="footer"/>
    <w:basedOn w:val="Normal"/>
    <w:link w:val="FooterChar"/>
    <w:uiPriority w:val="99"/>
    <w:unhideWhenUsed/>
    <w:rsid w:val="00F57E4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7E44"/>
  </w:style>
  <w:style w:type="character" w:customStyle="1" w:styleId="Heading1Char">
    <w:name w:val="Heading 1 Char"/>
    <w:basedOn w:val="DefaultParagraphFont"/>
    <w:link w:val="Heading1"/>
    <w:uiPriority w:val="9"/>
    <w:rsid w:val="00F57E4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57E44"/>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C27C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C00"/>
    <w:rPr>
      <w:rFonts w:ascii="Segoe UI" w:hAnsi="Segoe UI" w:cs="Segoe UI"/>
      <w:sz w:val="18"/>
      <w:szCs w:val="18"/>
    </w:rPr>
  </w:style>
  <w:style w:type="character" w:styleId="CommentReference">
    <w:name w:val="annotation reference"/>
    <w:basedOn w:val="DefaultParagraphFont"/>
    <w:uiPriority w:val="99"/>
    <w:semiHidden/>
    <w:unhideWhenUsed/>
    <w:rsid w:val="00435993"/>
    <w:rPr>
      <w:sz w:val="16"/>
      <w:szCs w:val="16"/>
    </w:rPr>
  </w:style>
  <w:style w:type="paragraph" w:styleId="CommentText">
    <w:name w:val="annotation text"/>
    <w:basedOn w:val="Normal"/>
    <w:link w:val="CommentTextChar"/>
    <w:uiPriority w:val="99"/>
    <w:semiHidden/>
    <w:unhideWhenUsed/>
    <w:rsid w:val="00435993"/>
    <w:pPr>
      <w:spacing w:line="240" w:lineRule="auto"/>
    </w:pPr>
    <w:rPr>
      <w:sz w:val="20"/>
      <w:szCs w:val="20"/>
    </w:rPr>
  </w:style>
  <w:style w:type="character" w:customStyle="1" w:styleId="CommentTextChar">
    <w:name w:val="Comment Text Char"/>
    <w:basedOn w:val="DefaultParagraphFont"/>
    <w:link w:val="CommentText"/>
    <w:uiPriority w:val="99"/>
    <w:semiHidden/>
    <w:rsid w:val="00435993"/>
    <w:rPr>
      <w:sz w:val="20"/>
      <w:szCs w:val="20"/>
    </w:rPr>
  </w:style>
  <w:style w:type="paragraph" w:styleId="CommentSubject">
    <w:name w:val="annotation subject"/>
    <w:basedOn w:val="CommentText"/>
    <w:next w:val="CommentText"/>
    <w:link w:val="CommentSubjectChar"/>
    <w:uiPriority w:val="99"/>
    <w:semiHidden/>
    <w:unhideWhenUsed/>
    <w:rsid w:val="00435993"/>
    <w:rPr>
      <w:b/>
      <w:bCs/>
    </w:rPr>
  </w:style>
  <w:style w:type="character" w:customStyle="1" w:styleId="CommentSubjectChar">
    <w:name w:val="Comment Subject Char"/>
    <w:basedOn w:val="CommentTextChar"/>
    <w:link w:val="CommentSubject"/>
    <w:uiPriority w:val="99"/>
    <w:semiHidden/>
    <w:rsid w:val="00435993"/>
    <w:rPr>
      <w:b/>
      <w:bCs/>
      <w:sz w:val="20"/>
      <w:szCs w:val="20"/>
    </w:rPr>
  </w:style>
  <w:style w:type="character" w:styleId="Hyperlink">
    <w:name w:val="Hyperlink"/>
    <w:basedOn w:val="DefaultParagraphFont"/>
    <w:uiPriority w:val="99"/>
    <w:unhideWhenUsed/>
    <w:rsid w:val="00867A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720</Words>
  <Characters>3821</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UiT Norges arktiske universitet</Company>
  <LinksUpToDate>false</LinksUpToDate>
  <CharactersWithSpaces>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Skjervold Christin</dc:creator>
  <cp:keywords/>
  <dc:description/>
  <cp:lastModifiedBy>Skjervold Christin</cp:lastModifiedBy>
  <cp:revision>4</cp:revision>
  <dcterms:created xsi:type="dcterms:W3CDTF">2016-06-09T12:53:00Z</dcterms:created>
  <dcterms:modified xsi:type="dcterms:W3CDTF">2016-09-16T08:50:00Z</dcterms:modified>
</cp:coreProperties>
</file>